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>上饶市龙潭大桥改（扩）建工程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级配碎石采购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rPr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级配碎石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4.75mm-9.5mm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级配碎石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9.5mm-19mm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5950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1CED2225"/>
    <w:rsid w:val="332918C8"/>
    <w:rsid w:val="6E5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梅梓喻</cp:lastModifiedBy>
  <dcterms:modified xsi:type="dcterms:W3CDTF">2021-03-24T08:11:06Z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